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2809D0">
        <w:rPr>
          <w:rFonts w:ascii="Verdana" w:hAnsi="Verdana"/>
          <w:b/>
          <w:szCs w:val="22"/>
        </w:rPr>
        <w:t>11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2809D0">
        <w:rPr>
          <w:rFonts w:ascii="Verdana" w:hAnsi="Verdana"/>
          <w:szCs w:val="22"/>
        </w:rPr>
        <w:t>August 26,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2F64A1" w:rsidRPr="00B5566E" w:rsidRDefault="00E31F97" w:rsidP="00334BF9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B5566E">
        <w:rPr>
          <w:rFonts w:ascii="Verdana" w:hAnsi="Verdana"/>
          <w:szCs w:val="22"/>
        </w:rPr>
        <w:t>Updated DPP-1292 Information for OOHC Placements</w:t>
      </w:r>
    </w:p>
    <w:p w:rsidR="002F64A1" w:rsidRDefault="002F64A1" w:rsidP="00334BF9">
      <w:pPr>
        <w:rPr>
          <w:rFonts w:ascii="Verdana" w:hAnsi="Verdana"/>
          <w:szCs w:val="22"/>
        </w:rPr>
      </w:pPr>
    </w:p>
    <w:p w:rsidR="00AA7C21" w:rsidRPr="007D239D" w:rsidRDefault="002809D0" w:rsidP="001D6A4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TWIST was recently modified, at the commissioner’s request, to require</w:t>
      </w:r>
      <w:r w:rsidR="004060A0" w:rsidRPr="007D239D">
        <w:rPr>
          <w:rFonts w:ascii="Verdana" w:hAnsi="Verdana"/>
          <w:sz w:val="21"/>
          <w:szCs w:val="21"/>
        </w:rPr>
        <w:t xml:space="preserve"> </w:t>
      </w:r>
      <w:r w:rsidR="00A633D7" w:rsidRPr="007D239D">
        <w:rPr>
          <w:rFonts w:ascii="Verdana" w:hAnsi="Verdana"/>
          <w:sz w:val="21"/>
          <w:szCs w:val="21"/>
        </w:rPr>
        <w:t>billing specialists</w:t>
      </w:r>
      <w:r w:rsidR="004060A0" w:rsidRPr="007D239D">
        <w:rPr>
          <w:rFonts w:ascii="Verdana" w:hAnsi="Verdana"/>
          <w:sz w:val="21"/>
          <w:szCs w:val="21"/>
        </w:rPr>
        <w:t xml:space="preserve"> to</w:t>
      </w:r>
      <w:r w:rsidR="00A633D7" w:rsidRPr="007D239D">
        <w:rPr>
          <w:rFonts w:ascii="Verdana" w:hAnsi="Verdana"/>
          <w:sz w:val="21"/>
          <w:szCs w:val="21"/>
        </w:rPr>
        <w:t xml:space="preserve"> enter</w:t>
      </w:r>
      <w:r w:rsidR="004060A0" w:rsidRPr="007D239D">
        <w:rPr>
          <w:rFonts w:ascii="Verdana" w:hAnsi="Verdana"/>
          <w:sz w:val="21"/>
          <w:szCs w:val="21"/>
        </w:rPr>
        <w:t xml:space="preserve"> additional</w:t>
      </w:r>
      <w:r w:rsidR="00A633D7" w:rsidRPr="007D239D">
        <w:rPr>
          <w:rFonts w:ascii="Verdana" w:hAnsi="Verdana"/>
          <w:sz w:val="21"/>
          <w:szCs w:val="21"/>
        </w:rPr>
        <w:t xml:space="preserve"> information</w:t>
      </w:r>
      <w:r>
        <w:rPr>
          <w:rFonts w:ascii="Verdana" w:hAnsi="Verdana"/>
          <w:sz w:val="21"/>
          <w:szCs w:val="21"/>
        </w:rPr>
        <w:t xml:space="preserve"> in out of home care cases</w:t>
      </w:r>
      <w:r w:rsidR="00A633D7" w:rsidRPr="007D239D">
        <w:rPr>
          <w:rFonts w:ascii="Verdana" w:hAnsi="Verdana"/>
          <w:sz w:val="21"/>
          <w:szCs w:val="21"/>
        </w:rPr>
        <w:t xml:space="preserve">.  When a suitable relative is identified as </w:t>
      </w:r>
      <w:r>
        <w:rPr>
          <w:rFonts w:ascii="Verdana" w:hAnsi="Verdana"/>
          <w:sz w:val="21"/>
          <w:szCs w:val="21"/>
        </w:rPr>
        <w:t xml:space="preserve">a </w:t>
      </w:r>
      <w:r w:rsidR="00A633D7" w:rsidRPr="007D239D">
        <w:rPr>
          <w:rFonts w:ascii="Verdana" w:hAnsi="Verdana"/>
          <w:sz w:val="21"/>
          <w:szCs w:val="21"/>
        </w:rPr>
        <w:t>placement for a child, but</w:t>
      </w:r>
      <w:r w:rsidR="004060A0" w:rsidRPr="007D239D">
        <w:rPr>
          <w:rFonts w:ascii="Verdana" w:hAnsi="Verdana"/>
          <w:sz w:val="21"/>
          <w:szCs w:val="21"/>
        </w:rPr>
        <w:t xml:space="preserve"> the relative</w:t>
      </w:r>
      <w:r w:rsidR="00A633D7" w:rsidRPr="007D239D">
        <w:rPr>
          <w:rFonts w:ascii="Verdana" w:hAnsi="Verdana"/>
          <w:sz w:val="21"/>
          <w:szCs w:val="21"/>
        </w:rPr>
        <w:t xml:space="preserve"> declines due to financial reasons</w:t>
      </w:r>
      <w:r w:rsidR="004060A0" w:rsidRPr="007D239D">
        <w:rPr>
          <w:rFonts w:ascii="Verdana" w:hAnsi="Verdana"/>
          <w:sz w:val="21"/>
          <w:szCs w:val="21"/>
        </w:rPr>
        <w:t>,</w:t>
      </w:r>
      <w:r w:rsidR="00AA7C21" w:rsidRPr="007D239D">
        <w:rPr>
          <w:rFonts w:ascii="Verdana" w:hAnsi="Verdana"/>
          <w:sz w:val="21"/>
          <w:szCs w:val="21"/>
        </w:rPr>
        <w:t xml:space="preserve"> based on the</w:t>
      </w:r>
      <w:r w:rsidR="00A633D7" w:rsidRPr="007D239D">
        <w:rPr>
          <w:rFonts w:ascii="Verdana" w:hAnsi="Verdana"/>
          <w:sz w:val="21"/>
          <w:szCs w:val="21"/>
        </w:rPr>
        <w:t xml:space="preserve"> lack of kinship care or lack of child care assistance, the billing specialist must complete the</w:t>
      </w:r>
      <w:r w:rsidR="004060A0" w:rsidRPr="007D239D">
        <w:rPr>
          <w:rFonts w:ascii="Verdana" w:hAnsi="Verdana"/>
          <w:sz w:val="21"/>
          <w:szCs w:val="21"/>
        </w:rPr>
        <w:t xml:space="preserve"> </w:t>
      </w:r>
      <w:r w:rsidR="006816B5">
        <w:rPr>
          <w:rFonts w:ascii="Verdana" w:hAnsi="Verdana"/>
          <w:sz w:val="21"/>
          <w:szCs w:val="21"/>
        </w:rPr>
        <w:t xml:space="preserve">information in the red box below.  </w:t>
      </w:r>
      <w:r w:rsidR="004060A0" w:rsidRPr="007D239D">
        <w:rPr>
          <w:rFonts w:ascii="Verdana" w:hAnsi="Verdana"/>
          <w:sz w:val="21"/>
          <w:szCs w:val="21"/>
        </w:rPr>
        <w:t xml:space="preserve">  </w:t>
      </w:r>
    </w:p>
    <w:p w:rsidR="00AA7C21" w:rsidRDefault="002809D0" w:rsidP="001D6A40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814E087" wp14:editId="13F66D64">
            <wp:simplePos x="0" y="0"/>
            <wp:positionH relativeFrom="column">
              <wp:posOffset>495300</wp:posOffset>
            </wp:positionH>
            <wp:positionV relativeFrom="paragraph">
              <wp:posOffset>34703</wp:posOffset>
            </wp:positionV>
            <wp:extent cx="6064250" cy="27082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C21" w:rsidRDefault="00AA7C21" w:rsidP="001D6A40">
      <w:pPr>
        <w:rPr>
          <w:rFonts w:ascii="Verdana" w:hAnsi="Verdana"/>
          <w:szCs w:val="22"/>
        </w:rPr>
      </w:pPr>
    </w:p>
    <w:p w:rsidR="00AA7C21" w:rsidRDefault="00AA7C21" w:rsidP="001D6A40">
      <w:pPr>
        <w:rPr>
          <w:rFonts w:ascii="Verdana" w:hAnsi="Verdana"/>
          <w:szCs w:val="22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1D6A40">
      <w:pPr>
        <w:rPr>
          <w:rFonts w:ascii="Verdana" w:hAnsi="Verdana"/>
          <w:sz w:val="21"/>
          <w:szCs w:val="21"/>
        </w:rPr>
      </w:pPr>
    </w:p>
    <w:p w:rsidR="002809D0" w:rsidRDefault="002809D0" w:rsidP="002809D0">
      <w:pPr>
        <w:rPr>
          <w:rFonts w:ascii="Verdana" w:hAnsi="Verdana"/>
          <w:sz w:val="21"/>
          <w:szCs w:val="21"/>
        </w:rPr>
      </w:pPr>
    </w:p>
    <w:p w:rsidR="006C6F62" w:rsidRPr="002809D0" w:rsidRDefault="004060A0" w:rsidP="001D6A40">
      <w:pPr>
        <w:rPr>
          <w:rFonts w:ascii="Verdana" w:hAnsi="Verdana"/>
          <w:color w:val="000000"/>
        </w:rPr>
      </w:pPr>
      <w:r w:rsidRPr="007D239D">
        <w:rPr>
          <w:rFonts w:ascii="Verdana" w:hAnsi="Verdana"/>
          <w:sz w:val="21"/>
          <w:szCs w:val="21"/>
        </w:rPr>
        <w:lastRenderedPageBreak/>
        <w:t xml:space="preserve">Content has been added to the </w:t>
      </w:r>
      <w:hyperlink r:id="rId9" w:history="1">
        <w:r w:rsidR="002809D0">
          <w:rPr>
            <w:rStyle w:val="Hyperlink"/>
            <w:rFonts w:ascii="Verdana" w:hAnsi="Verdana"/>
          </w:rPr>
          <w:t>DPP-1292 Information for OOHC Placements</w:t>
        </w:r>
      </w:hyperlink>
      <w:r w:rsidR="002809D0">
        <w:rPr>
          <w:rFonts w:ascii="Verdana" w:hAnsi="Verdana"/>
          <w:color w:val="000000"/>
        </w:rPr>
        <w:t xml:space="preserve"> </w:t>
      </w:r>
      <w:bookmarkStart w:id="0" w:name="_GoBack"/>
      <w:bookmarkEnd w:id="0"/>
      <w:r w:rsidRPr="007D239D">
        <w:rPr>
          <w:rFonts w:ascii="Verdana" w:hAnsi="Verdana"/>
          <w:sz w:val="21"/>
          <w:szCs w:val="21"/>
        </w:rPr>
        <w:t>to ensure that this information is relayed to the billing specialist</w:t>
      </w:r>
      <w:r w:rsidR="00AA7C21" w:rsidRPr="007D239D">
        <w:rPr>
          <w:rFonts w:ascii="Verdana" w:hAnsi="Verdana"/>
          <w:sz w:val="21"/>
          <w:szCs w:val="21"/>
        </w:rPr>
        <w:t xml:space="preserve">s at the time of placement.  </w:t>
      </w:r>
    </w:p>
    <w:p w:rsidR="006C6F62" w:rsidRDefault="006C6F62" w:rsidP="001D6A40">
      <w:pPr>
        <w:rPr>
          <w:rFonts w:ascii="Verdana" w:hAnsi="Verdana"/>
          <w:sz w:val="21"/>
          <w:szCs w:val="21"/>
        </w:rPr>
      </w:pPr>
    </w:p>
    <w:p w:rsidR="006C6F62" w:rsidRDefault="006C6F62" w:rsidP="001D6A4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Content has also been added to the DPP-1292 regarding what type of documentation should be included, with the form, when a relative case is being closed, but the judge will not provide a court order or grant permanent custody.  </w:t>
      </w:r>
    </w:p>
    <w:p w:rsidR="006C6F62" w:rsidRDefault="006C6F62" w:rsidP="001D6A40">
      <w:pPr>
        <w:rPr>
          <w:rFonts w:ascii="Verdana" w:hAnsi="Verdana"/>
          <w:sz w:val="21"/>
          <w:szCs w:val="21"/>
        </w:rPr>
      </w:pPr>
    </w:p>
    <w:p w:rsidR="00AA7C21" w:rsidRPr="007D239D" w:rsidRDefault="00AA7C21" w:rsidP="001D6A40">
      <w:pPr>
        <w:rPr>
          <w:rFonts w:ascii="Verdana" w:hAnsi="Verdana"/>
          <w:sz w:val="21"/>
          <w:szCs w:val="21"/>
        </w:rPr>
      </w:pPr>
      <w:r w:rsidRPr="007D239D">
        <w:rPr>
          <w:rFonts w:ascii="Verdana" w:hAnsi="Verdana"/>
          <w:sz w:val="21"/>
          <w:szCs w:val="21"/>
        </w:rPr>
        <w:t xml:space="preserve">Staff should begin using the updated form immediately.  </w:t>
      </w:r>
    </w:p>
    <w:p w:rsidR="00AA7C21" w:rsidRPr="007D239D" w:rsidRDefault="00AA7C21" w:rsidP="001D6A40">
      <w:pPr>
        <w:rPr>
          <w:rFonts w:ascii="Verdana" w:hAnsi="Verdana"/>
          <w:sz w:val="21"/>
          <w:szCs w:val="21"/>
        </w:rPr>
      </w:pPr>
    </w:p>
    <w:p w:rsidR="00AA7C21" w:rsidRPr="007D239D" w:rsidRDefault="00AA7C21" w:rsidP="001D6A40">
      <w:pPr>
        <w:rPr>
          <w:rFonts w:ascii="Verdana" w:hAnsi="Verdana"/>
          <w:sz w:val="21"/>
          <w:szCs w:val="21"/>
        </w:rPr>
      </w:pPr>
      <w:r w:rsidRPr="007D239D">
        <w:rPr>
          <w:rFonts w:ascii="Verdana" w:hAnsi="Verdana"/>
          <w:sz w:val="21"/>
          <w:szCs w:val="21"/>
        </w:rPr>
        <w:t xml:space="preserve">If you have any questions regarding this memorandum, please contact </w:t>
      </w:r>
      <w:hyperlink r:id="rId10" w:history="1">
        <w:r w:rsidRPr="007D239D">
          <w:rPr>
            <w:rStyle w:val="Hyperlink"/>
            <w:rFonts w:ascii="Verdana" w:hAnsi="Verdana"/>
            <w:sz w:val="21"/>
            <w:szCs w:val="21"/>
          </w:rPr>
          <w:t>gretchen.marshall@ky.gov</w:t>
        </w:r>
      </w:hyperlink>
      <w:r w:rsidRPr="007D239D">
        <w:rPr>
          <w:rFonts w:ascii="Verdana" w:hAnsi="Verdana"/>
          <w:sz w:val="21"/>
          <w:szCs w:val="21"/>
        </w:rPr>
        <w:t xml:space="preserve"> via e-mail, or by telephone at (502) 564-7635, ext. 3587. </w:t>
      </w:r>
    </w:p>
    <w:p w:rsidR="001D6A40" w:rsidRPr="007D239D" w:rsidRDefault="001D6A40" w:rsidP="001D6A40">
      <w:pPr>
        <w:rPr>
          <w:rFonts w:ascii="Verdana" w:hAnsi="Verdana"/>
          <w:sz w:val="21"/>
          <w:szCs w:val="21"/>
        </w:rPr>
      </w:pPr>
    </w:p>
    <w:sectPr w:rsidR="001D6A40" w:rsidRPr="007D239D" w:rsidSect="00406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C0" w:rsidRDefault="009005C0">
      <w:r>
        <w:separator/>
      </w:r>
    </w:p>
  </w:endnote>
  <w:endnote w:type="continuationSeparator" w:id="0">
    <w:p w:rsidR="009005C0" w:rsidRDefault="0090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0" w:rsidRDefault="00900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0" w:rsidRDefault="00900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0" w:rsidRDefault="009005C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4BC44" wp14:editId="4B275C1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5C0" w:rsidRDefault="009005C0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79BDEDD" wp14:editId="71C19A4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05C0" w:rsidRPr="00524DAE" w:rsidRDefault="009005C0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C0" w:rsidRDefault="009005C0">
      <w:r>
        <w:separator/>
      </w:r>
    </w:p>
  </w:footnote>
  <w:footnote w:type="continuationSeparator" w:id="0">
    <w:p w:rsidR="009005C0" w:rsidRDefault="0090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0" w:rsidRDefault="00900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0" w:rsidRDefault="00900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0" w:rsidRDefault="009005C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60753" wp14:editId="0463D7D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5C0" w:rsidRDefault="009005C0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919666E" wp14:editId="2E7B488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A3038" wp14:editId="1838B1A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05C0" w:rsidRDefault="009005C0" w:rsidP="00797852">
    <w:pPr>
      <w:tabs>
        <w:tab w:val="center" w:pos="5264"/>
      </w:tabs>
      <w:spacing w:line="220" w:lineRule="atLeast"/>
      <w:rPr>
        <w:sz w:val="20"/>
      </w:rPr>
    </w:pPr>
  </w:p>
  <w:p w:rsidR="009005C0" w:rsidRDefault="009005C0" w:rsidP="00797852">
    <w:pPr>
      <w:spacing w:line="220" w:lineRule="atLeast"/>
      <w:rPr>
        <w:sz w:val="20"/>
      </w:rPr>
    </w:pPr>
  </w:p>
  <w:p w:rsidR="009005C0" w:rsidRDefault="009005C0" w:rsidP="00797852">
    <w:pPr>
      <w:spacing w:line="260" w:lineRule="atLeast"/>
      <w:rPr>
        <w:rFonts w:ascii="TradeGothic LH BoldExtended" w:hAnsi="TradeGothic LH BoldExtended"/>
        <w:sz w:val="20"/>
      </w:rPr>
    </w:pPr>
  </w:p>
  <w:p w:rsidR="009005C0" w:rsidRDefault="009005C0" w:rsidP="00797852">
    <w:pPr>
      <w:spacing w:line="260" w:lineRule="atLeast"/>
      <w:rPr>
        <w:sz w:val="20"/>
      </w:rPr>
    </w:pPr>
  </w:p>
  <w:p w:rsidR="009005C0" w:rsidRDefault="009005C0" w:rsidP="00797852">
    <w:pPr>
      <w:spacing w:line="260" w:lineRule="atLeast"/>
      <w:rPr>
        <w:sz w:val="20"/>
      </w:rPr>
    </w:pPr>
  </w:p>
  <w:p w:rsidR="009005C0" w:rsidRDefault="009005C0" w:rsidP="00797852">
    <w:pPr>
      <w:spacing w:line="140" w:lineRule="atLeast"/>
      <w:rPr>
        <w:sz w:val="20"/>
      </w:rPr>
    </w:pPr>
  </w:p>
  <w:p w:rsidR="009005C0" w:rsidRDefault="009005C0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9005C0" w:rsidRDefault="009005C0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9005C0" w:rsidRDefault="009005C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C2109" wp14:editId="3A6C062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5C0" w:rsidRDefault="009005C0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9005C0" w:rsidRDefault="009005C0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9005C0" w:rsidRDefault="009005C0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9005C0" w:rsidRDefault="009005C0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9005C0" w:rsidRDefault="009005C0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9005C0" w:rsidRDefault="009005C0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9005C0" w:rsidRDefault="009005C0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9005C0" w:rsidRDefault="009005C0" w:rsidP="00797852">
    <w:pPr>
      <w:pStyle w:val="GovSecretaryDeputySecname"/>
    </w:pPr>
  </w:p>
  <w:p w:rsidR="009005C0" w:rsidRDefault="009005C0" w:rsidP="00797852">
    <w:pPr>
      <w:pStyle w:val="GovSecretaryDeputySectilte"/>
    </w:pPr>
    <w:r>
      <w:tab/>
    </w:r>
  </w:p>
  <w:p w:rsidR="009005C0" w:rsidRPr="00797852" w:rsidRDefault="009005C0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9D0"/>
    <w:rsid w:val="00280D3D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7CD8"/>
    <w:rsid w:val="006B2951"/>
    <w:rsid w:val="006B3577"/>
    <w:rsid w:val="006C43DA"/>
    <w:rsid w:val="006C6F62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etchen.marshall@ky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sopFormsLibrary/DPP-1292%20Information%20for%20OOHC%20Placements.do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C42316-CF0B-4851-A85E-2CAA25371998}"/>
</file>

<file path=customXml/itemProps2.xml><?xml version="1.0" encoding="utf-8"?>
<ds:datastoreItem xmlns:ds="http://schemas.openxmlformats.org/officeDocument/2006/customXml" ds:itemID="{0EB1D03E-E492-430E-B6D8-520EA3AA0B13}"/>
</file>

<file path=customXml/itemProps3.xml><?xml version="1.0" encoding="utf-8"?>
<ds:datastoreItem xmlns:ds="http://schemas.openxmlformats.org/officeDocument/2006/customXml" ds:itemID="{4CBEAEBD-D859-41D7-A922-52A4DAC7A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13-11 Updated DPP-1292 Information for OOHC Placements</dc:title>
  <dc:creator>Beth.Holbrook</dc:creator>
  <cp:lastModifiedBy>sarah.cooper</cp:lastModifiedBy>
  <cp:revision>8</cp:revision>
  <cp:lastPrinted>2013-08-12T16:46:00Z</cp:lastPrinted>
  <dcterms:created xsi:type="dcterms:W3CDTF">2013-08-07T14:00:00Z</dcterms:created>
  <dcterms:modified xsi:type="dcterms:W3CDTF">2013-08-26T18:33:00Z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